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附件</w:t>
      </w:r>
      <w:r>
        <w:rPr>
          <w:rFonts w:ascii="Times New Roman" w:hAnsi="Times New Roman" w:eastAsia="黑体" w:cs="Times New Roman"/>
          <w:sz w:val="32"/>
          <w:szCs w:val="20"/>
        </w:rPr>
        <w:t>3</w:t>
      </w:r>
    </w:p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重庆理工大学管理学院简介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理工大学管理学院始建于1986年，目前在工商管理学科和公共管理学科学院现有9个专业，拥有国家级一流专业1个（市场营销），重庆市特色专业2个（市场营销、人力资源管理），国际化合作办学支持专业1个（旅游管理）。由工商管理、人力资源管理、物流管理、市场营销组成的工商管理学科为重庆市特色学科群。拥有工商管理和管理科学与工程2个一级学科硕士学位授权点，其中工商管理学科是重庆市重点学科。工商管理一级学科下设有企业管理、技术经济及管理、旅游管理3个二级学科硕士学位授权点。学院具有良好的育人环境和优秀的学生群体，成立有多个团学组织，开展多项高质量的课外活动，为学生成长成才搭建众多锻炼平台和提供良好机会，全面提升学生的素质与能力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学院目前有教职工130余人，其中有教授22人、副教授36人，大量专任教师具有博士学位，省部级及以上人才10人，硕士生导师45人，博士生导师4人。学院教师的整体学术水平较高，近5年来取得了大量高质量的学术研究成果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公开发表论文600多篇，其中国内外重要期刊及核心期刊380余篇；承担国家自然科学基金、国家社会科学基金、国务院各部门等省部级以上课题120余项；出版学术专著（教材）50余部；获省部级一等奖1项、二等奖2项、三等奖10余项，科研经费达2000多万元。学院现有全日制在校本科生3000余人，研究生100余人，研究生毕业生人数40人，本科毕业生人数756人，</w:t>
      </w:r>
      <w:r>
        <w:rPr>
          <w:rFonts w:ascii="Times New Roman" w:hAnsi="Times New Roman" w:eastAsia="方正仿宋_GBK" w:cs="Times New Roman"/>
          <w:sz w:val="32"/>
          <w:szCs w:val="32"/>
        </w:rPr>
        <w:t>具体如下：</w:t>
      </w:r>
    </w:p>
    <w:p>
      <w:pPr>
        <w:spacing w:line="2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市场营销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64人（男：25）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旅游管理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土地资源管理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广告学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76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工商管理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107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物流管理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行政管理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人力资源管理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171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劳动与社会保障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管理科学与工程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研究生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企业管理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研究生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旅游管理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研究生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技术经济与管理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研究生</w:t>
            </w:r>
          </w:p>
        </w:tc>
        <w:tc>
          <w:tcPr>
            <w:tcW w:w="311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人（男：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</w:tr>
    </w:tbl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600" w:lineRule="exact"/>
        <w:ind w:right="640"/>
        <w:jc w:val="left"/>
        <w:rPr>
          <w:rFonts w:ascii="Times New Roman" w:hAnsi="Times New Roman" w:eastAsia="黑体" w:cs="Times New Roman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01E2F2-1700-4066-BF07-76AA6ED60F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1F922F6-3F89-4102-8088-20A902622BA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F6AB63B-A84B-4CB3-9907-298DABF0A3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426F1945"/>
    <w:rsid w:val="426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2023-03-10T06:18:00Z</dcterms:created>
  <dc:creator>zhang</dc:creator>
  <cp:lastModifiedBy>zhang</cp:lastModifiedBy>
  <dcterms:modified xsi:type="dcterms:W3CDTF">2023-03-10T06:18:35Z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8A9BB6FF06FE4280BB072236BE233409</vt:lpwstr>
  </property>
</Properties>
</file>