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1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  <w:lang w:val="en-US" w:eastAsia="zh-CN"/>
        </w:rPr>
        <w:t>职业技能等级认定收费标准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default" w:ascii="方正黑体_GBK" w:hAnsi="方正黑体_GBK" w:eastAsia="方正黑体_GBK" w:cs="方正黑体_GBK"/>
          <w:snapToGrid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24"/>
          <w:szCs w:val="24"/>
          <w:lang w:val="en-US" w:eastAsia="zh-CN"/>
        </w:rPr>
        <w:t>单位：元/人·次</w:t>
      </w:r>
    </w:p>
    <w:tbl>
      <w:tblPr>
        <w:tblStyle w:val="4"/>
        <w:tblW w:w="89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512"/>
        <w:gridCol w:w="1170"/>
        <w:gridCol w:w="1485"/>
        <w:gridCol w:w="139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4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知识鉴定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操作技能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企业人力资源管理师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四级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劳动关系协调员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四级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育婴员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五级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四级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家政服务员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五级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四级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养老护理员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五级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四级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茶艺师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五级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四级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美容师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五级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四级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美发师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五级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四级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三级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二级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一级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8" w:right="1418" w:bottom="1418" w:left="1418" w:header="851" w:footer="851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napToGrid w:val="0"/>
          <w:sz w:val="24"/>
          <w:szCs w:val="24"/>
          <w:lang w:val="en-US" w:eastAsia="zh-CN"/>
        </w:rPr>
        <w:t>注：鉴于育婴员、家政服务员、养老护理员、茶艺师、美容师、美发师等操作技能考试耗材大的特殊性，其考试所需的原材料按实际成本收费用或考生自备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B83E8D1-6E91-4AC7-A7B5-128C261C62C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2A70897-0E46-48AB-9745-8F5E18FE542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FF9633A-EF1E-464B-B68C-E5C31EADA07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B7D03"/>
    <w:rsid w:val="513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2022-09-21T08:59:00Z</dcterms:created>
  <dc:creator>zhang</dc:creator>
  <cp:lastModifiedBy>zhang</cp:lastModifiedBy>
  <dcterms:modified xsi:type="dcterms:W3CDTF">2022-09-21T09:00:20Z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F95F36B4395043D29AA9ECCD57AC38B2</vt:lpwstr>
  </property>
</Properties>
</file>